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Консалтинг</w:t>
            </w:r>
          </w:p>
          <w:p>
            <w:pPr>
              <w:jc w:val="center"/>
              <w:spacing w:after="0" w:line="240" w:lineRule="auto"/>
              <w:rPr>
                <w:sz w:val="32"/>
                <w:szCs w:val="32"/>
              </w:rPr>
            </w:pPr>
            <w:r>
              <w:rPr>
                <w:rFonts w:ascii="Times New Roman" w:hAnsi="Times New Roman" w:cs="Times New Roman"/>
                <w:color w:val="#000000"/>
                <w:sz w:val="32"/>
                <w:szCs w:val="32"/>
              </w:rPr>
              <w:t> К.М.02.09</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/Ильченко С.М./</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«Консалтинг»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К.М.02.09 «Консалтинг».</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«Консалтинг»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ПК-2</w:t>
            </w:r>
          </w:p>
          <w:p>
            <w:pPr>
              <w:jc w:val="left"/>
              <w:spacing w:after="0" w:line="240" w:lineRule="auto"/>
              <w:rPr>
                <w:sz w:val="24"/>
                <w:szCs w:val="24"/>
              </w:rPr>
            </w:pPr>
            <w:r>
              <w:rPr>
                <w:rFonts w:ascii="Times New Roman" w:hAnsi="Times New Roman" w:cs="Times New Roman"/>
                <w:b/>
                <w:color w:val="#000000"/>
                <w:sz w:val="24"/>
                <w:szCs w:val="24"/>
              </w:rPr>
              <w:t> Способен к осуществлению консультирования клиентов по использованию финансовых продуктов и услуг</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ПК-2.5 знать нормативные и методические документы, регламентирующие работы по информационному обеспечению в организации</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ПК-2.8 уметь создавать комфортные условия для клиента в процессе оформления документов, проверять правильность заполнения клиентом документов, разъяснять клиентам содержание финансовых и юридических документов в пределах своей компетенции</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ПК-2.12 уметь использовать в работе нормативные и методические документы, регламентирующие вопросы подбора кредитных продуктов банковских депозитов, обезличенных металлических счетов страховых продуктов инвестиционных продуктов</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ПК-2.16 владеть навыками консультирования по оформлению операций по определению взаимных обязательств (клиринг)</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ПК-2.17 владеть навыками консультирования по оформлению операций по покупке- продаже памятных монет из драгоценных металлов инвестиционных монет из драгоценных металлов</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УК-4.1 знать стиль делового общения, вербальные и невербальные средства взаимодействия с партнерами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УК-4.4 уметь использовать информационно-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 ых) языках</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УК-4.5 владеть практическими навыками деловой коммуникации в устной и письменной формах на государственном языке Российской Федерации и иностранном(ых) языке(ах)</w:t>
            </w:r>
          </w:p>
        </w:tc>
      </w:tr>
      <w:tr>
        <w:trPr>
          <w:trHeight w:hRule="exact" w:val="416.7455"/>
        </w:trPr>
        <w:tc>
          <w:tcPr>
            <w:tcW w:w="9640" w:type="dxa"/>
          </w:tcP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К.М.02.09 «Консалтинг» относится к обязательной части, является дисциплиной Блока Б1. «Дисциплины (модули)». Модуль "Финансовое консультирование"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310.65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Менеджмент и маркетинг</w:t>
            </w:r>
          </w:p>
          <w:p>
            <w:pPr>
              <w:jc w:val="center"/>
              <w:spacing w:after="0" w:line="240" w:lineRule="auto"/>
              <w:rPr>
                <w:sz w:val="22"/>
                <w:szCs w:val="22"/>
              </w:rPr>
            </w:pPr>
            <w:r>
              <w:rPr>
                <w:rFonts w:ascii="Times New Roman" w:hAnsi="Times New Roman" w:cs="Times New Roman"/>
                <w:color w:val="#000000"/>
                <w:sz w:val="22"/>
                <w:szCs w:val="22"/>
              </w:rPr>
              <w:t> Финансовые услуги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Практикум: методика проведения аудита</w:t>
            </w:r>
          </w:p>
          <w:p>
            <w:pPr>
              <w:jc w:val="center"/>
              <w:spacing w:after="0" w:line="240" w:lineRule="auto"/>
              <w:rPr>
                <w:sz w:val="22"/>
                <w:szCs w:val="22"/>
              </w:rPr>
            </w:pPr>
            <w:r>
              <w:rPr>
                <w:rFonts w:ascii="Times New Roman" w:hAnsi="Times New Roman" w:cs="Times New Roman"/>
                <w:color w:val="#000000"/>
                <w:sz w:val="22"/>
                <w:szCs w:val="22"/>
              </w:rPr>
              <w:t> Практический аудит: оценка рисков бизнес- процессов</w:t>
            </w:r>
          </w:p>
          <w:p>
            <w:pPr>
              <w:jc w:val="center"/>
              <w:spacing w:after="0" w:line="240" w:lineRule="auto"/>
              <w:rPr>
                <w:sz w:val="22"/>
                <w:szCs w:val="22"/>
              </w:rPr>
            </w:pPr>
            <w:r>
              <w:rPr>
                <w:rFonts w:ascii="Times New Roman" w:hAnsi="Times New Roman" w:cs="Times New Roman"/>
                <w:color w:val="#000000"/>
                <w:sz w:val="22"/>
                <w:szCs w:val="22"/>
              </w:rPr>
              <w:t> Анализ и оценка рисков хозяйствующего субъекта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ПК-2, УК-4</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153</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4</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Цели консалтинга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 и цель управленческого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консультационных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процесса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 и цель управленческого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консультационных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процесса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Характер и цель управленческого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Классификация консультационных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Этапы процесса консультирования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Этика и психология в консалтинге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Партнерские отношения «Клиент - консультант»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игры в консалтинге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Партнерские отношения «Клиент - консультант»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игры в консалтинге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Партнерские отношения «Клиент - консультант»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Деловые игры в консалтинге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Управление консалтинговыми услугами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консультационных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Качество консультационной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эффективность консалтинга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консультационных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Качество консультационной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эффективность консалтинга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Маркетинг консультационных услуг</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Качество консультационной услуги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Экономическая эффективность консалтинга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9326.85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677.66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 и цель управленческого консультирования</w:t>
            </w:r>
          </w:p>
        </w:tc>
      </w:tr>
      <w:tr>
        <w:trPr>
          <w:trHeight w:hRule="exact" w:val="277.8295"/>
        </w:trPr>
        <w:tc>
          <w:tcPr>
            <w:tcW w:w="9654" w:type="dxa"/>
            <w:tcBorders>
</w:tcBorders>
            <w:vMerge/>
            <w:shd w:val="clear" w:color="#000000" w:fill="#FFFFFF"/>
            <w:vAlign w:val="top"/>
            <w:tcMar>
              <w:left w:w="34" w:type="dxa"/>
              <w:right w:w="34" w:type="dxa"/>
            </w:tcMar>
          </w:tcP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сферы управленческого консультирования	</w:t>
            </w:r>
          </w:p>
          <w:p>
            <w:pPr>
              <w:jc w:val="both"/>
              <w:spacing w:after="0" w:line="240" w:lineRule="auto"/>
              <w:rPr>
                <w:sz w:val="24"/>
                <w:szCs w:val="24"/>
              </w:rPr>
            </w:pPr>
            <w:r>
              <w:rPr>
                <w:rFonts w:ascii="Times New Roman" w:hAnsi="Times New Roman" w:cs="Times New Roman"/>
                <w:color w:val="#000000"/>
                <w:sz w:val="24"/>
                <w:szCs w:val="24"/>
              </w:rPr>
              <w:t> Сущность и виды управленческого консультирования	</w:t>
            </w:r>
          </w:p>
          <w:p>
            <w:pPr>
              <w:jc w:val="both"/>
              <w:spacing w:after="0" w:line="240" w:lineRule="auto"/>
              <w:rPr>
                <w:sz w:val="24"/>
                <w:szCs w:val="24"/>
              </w:rPr>
            </w:pPr>
            <w:r>
              <w:rPr>
                <w:rFonts w:ascii="Times New Roman" w:hAnsi="Times New Roman" w:cs="Times New Roman"/>
                <w:color w:val="#000000"/>
                <w:sz w:val="24"/>
                <w:szCs w:val="24"/>
              </w:rPr>
              <w:t> Причины обращения клиента к консультанту	</w:t>
            </w:r>
          </w:p>
          <w:p>
            <w:pPr>
              <w:jc w:val="both"/>
              <w:spacing w:after="0" w:line="240" w:lineRule="auto"/>
              <w:rPr>
                <w:sz w:val="24"/>
                <w:szCs w:val="24"/>
              </w:rPr>
            </w:pPr>
            <w:r>
              <w:rPr>
                <w:rFonts w:ascii="Times New Roman" w:hAnsi="Times New Roman" w:cs="Times New Roman"/>
                <w:color w:val="#000000"/>
                <w:sz w:val="24"/>
                <w:szCs w:val="24"/>
              </w:rPr>
              <w:t> Основные типы консультационных организаций	</w:t>
            </w:r>
          </w:p>
          <w:p>
            <w:pPr>
              <w:jc w:val="both"/>
              <w:spacing w:after="0" w:line="240" w:lineRule="auto"/>
              <w:rPr>
                <w:sz w:val="24"/>
                <w:szCs w:val="24"/>
              </w:rPr>
            </w:pPr>
            <w:r>
              <w:rPr>
                <w:rFonts w:ascii="Times New Roman" w:hAnsi="Times New Roman" w:cs="Times New Roman"/>
                <w:color w:val="#000000"/>
                <w:sz w:val="24"/>
                <w:szCs w:val="24"/>
              </w:rPr>
              <w:t> Классификация и модель профессиональной компетенции консультанта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консультационных услуг</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Международная классификация консультационных услуг	</w:t>
            </w:r>
          </w:p>
          <w:p>
            <w:pPr>
              <w:jc w:val="both"/>
              <w:spacing w:after="0" w:line="240" w:lineRule="auto"/>
              <w:rPr>
                <w:sz w:val="24"/>
                <w:szCs w:val="24"/>
              </w:rPr>
            </w:pPr>
            <w:r>
              <w:rPr>
                <w:rFonts w:ascii="Times New Roman" w:hAnsi="Times New Roman" w:cs="Times New Roman"/>
                <w:color w:val="#000000"/>
                <w:sz w:val="24"/>
                <w:szCs w:val="24"/>
              </w:rPr>
              <w:t> Отечественная классификация консультационных услуг</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процесса консультирования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Подготовка к консультированию. Диагноз проблемы клиента	</w:t>
            </w:r>
          </w:p>
          <w:p>
            <w:pPr>
              <w:jc w:val="both"/>
              <w:spacing w:after="0" w:line="240" w:lineRule="auto"/>
              <w:rPr>
                <w:sz w:val="24"/>
                <w:szCs w:val="24"/>
              </w:rPr>
            </w:pPr>
            <w:r>
              <w:rPr>
                <w:rFonts w:ascii="Times New Roman" w:hAnsi="Times New Roman" w:cs="Times New Roman"/>
                <w:color w:val="#000000"/>
                <w:sz w:val="24"/>
                <w:szCs w:val="24"/>
              </w:rPr>
              <w:t> Планирование действий	</w:t>
            </w:r>
          </w:p>
          <w:p>
            <w:pPr>
              <w:jc w:val="both"/>
              <w:spacing w:after="0" w:line="240" w:lineRule="auto"/>
              <w:rPr>
                <w:sz w:val="24"/>
                <w:szCs w:val="24"/>
              </w:rPr>
            </w:pPr>
            <w:r>
              <w:rPr>
                <w:rFonts w:ascii="Times New Roman" w:hAnsi="Times New Roman" w:cs="Times New Roman"/>
                <w:color w:val="#000000"/>
                <w:sz w:val="24"/>
                <w:szCs w:val="24"/>
              </w:rPr>
              <w:t> Внедрение изменений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Партнерские отношения «Клиент - консультант»</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Факторы, влияющие на отношения «клиент — консультант»</w:t>
            </w:r>
          </w:p>
          <w:p>
            <w:pPr>
              <w:jc w:val="both"/>
              <w:spacing w:after="0" w:line="240" w:lineRule="auto"/>
              <w:rPr>
                <w:sz w:val="24"/>
                <w:szCs w:val="24"/>
              </w:rPr>
            </w:pPr>
            <w:r>
              <w:rPr>
                <w:rFonts w:ascii="Times New Roman" w:hAnsi="Times New Roman" w:cs="Times New Roman"/>
                <w:color w:val="#000000"/>
                <w:sz w:val="24"/>
                <w:szCs w:val="24"/>
              </w:rPr>
              <w:t> Особенности коммуникационных процессов в консультант- клиентных отношениях</w:t>
            </w:r>
          </w:p>
          <w:p>
            <w:pPr>
              <w:jc w:val="both"/>
              <w:spacing w:after="0" w:line="240" w:lineRule="auto"/>
              <w:rPr>
                <w:sz w:val="24"/>
                <w:szCs w:val="24"/>
              </w:rPr>
            </w:pPr>
            <w:r>
              <w:rPr>
                <w:rFonts w:ascii="Times New Roman" w:hAnsi="Times New Roman" w:cs="Times New Roman"/>
                <w:color w:val="#000000"/>
                <w:sz w:val="24"/>
                <w:szCs w:val="24"/>
              </w:rPr>
              <w:t> Этические проблемы управленческого консультирования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игры в консалтинге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Характеристики деловых игр и их место в управленческом консультировании</w:t>
            </w:r>
          </w:p>
          <w:p>
            <w:pPr>
              <w:jc w:val="both"/>
              <w:spacing w:after="0" w:line="240" w:lineRule="auto"/>
              <w:rPr>
                <w:sz w:val="24"/>
                <w:szCs w:val="24"/>
              </w:rPr>
            </w:pPr>
            <w:r>
              <w:rPr>
                <w:rFonts w:ascii="Times New Roman" w:hAnsi="Times New Roman" w:cs="Times New Roman"/>
                <w:color w:val="#000000"/>
                <w:sz w:val="24"/>
                <w:szCs w:val="24"/>
              </w:rPr>
              <w:t> Базовые архитектуры деловых и иих распределение по процедурам управленческого консультирования</w:t>
            </w:r>
          </w:p>
          <w:p>
            <w:pPr>
              <w:jc w:val="both"/>
              <w:spacing w:after="0" w:line="240" w:lineRule="auto"/>
              <w:rPr>
                <w:sz w:val="24"/>
                <w:szCs w:val="24"/>
              </w:rPr>
            </w:pPr>
            <w:r>
              <w:rPr>
                <w:rFonts w:ascii="Times New Roman" w:hAnsi="Times New Roman" w:cs="Times New Roman"/>
                <w:color w:val="#000000"/>
                <w:sz w:val="24"/>
                <w:szCs w:val="24"/>
              </w:rPr>
              <w:t> Организационно-деятельностные игры в управленческом консультировании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консультационных услуг</w:t>
            </w:r>
          </w:p>
        </w:tc>
      </w:tr>
      <w:tr>
        <w:trPr>
          <w:trHeight w:hRule="exact" w:val="352.35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Роль маркетологов в привлечении заказов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Маркетинг и организация продаж консультационных услуг	</w:t>
            </w:r>
          </w:p>
          <w:p>
            <w:pPr>
              <w:jc w:val="both"/>
              <w:spacing w:after="0" w:line="240" w:lineRule="auto"/>
              <w:rPr>
                <w:sz w:val="24"/>
                <w:szCs w:val="24"/>
              </w:rPr>
            </w:pPr>
            <w:r>
              <w:rPr>
                <w:rFonts w:ascii="Times New Roman" w:hAnsi="Times New Roman" w:cs="Times New Roman"/>
                <w:color w:val="#000000"/>
                <w:sz w:val="24"/>
                <w:szCs w:val="24"/>
              </w:rPr>
              <w:t> Специфика товара — консультационная услуга	</w:t>
            </w:r>
          </w:p>
          <w:p>
            <w:pPr>
              <w:jc w:val="both"/>
              <w:spacing w:after="0" w:line="240" w:lineRule="auto"/>
              <w:rPr>
                <w:sz w:val="24"/>
                <w:szCs w:val="24"/>
              </w:rPr>
            </w:pPr>
            <w:r>
              <w:rPr>
                <w:rFonts w:ascii="Times New Roman" w:hAnsi="Times New Roman" w:cs="Times New Roman"/>
                <w:color w:val="#000000"/>
                <w:sz w:val="24"/>
                <w:szCs w:val="24"/>
              </w:rPr>
              <w:t> Особенности ценообразования на рынке консультационных услуг	</w:t>
            </w:r>
          </w:p>
          <w:p>
            <w:pPr>
              <w:jc w:val="both"/>
              <w:spacing w:after="0" w:line="240" w:lineRule="auto"/>
              <w:rPr>
                <w:sz w:val="24"/>
                <w:szCs w:val="24"/>
              </w:rPr>
            </w:pPr>
            <w:r>
              <w:rPr>
                <w:rFonts w:ascii="Times New Roman" w:hAnsi="Times New Roman" w:cs="Times New Roman"/>
                <w:color w:val="#000000"/>
                <w:sz w:val="24"/>
                <w:szCs w:val="24"/>
              </w:rPr>
              <w:t> Разработка стратегий предприятия	</w:t>
            </w:r>
          </w:p>
          <w:p>
            <w:pPr>
              <w:jc w:val="both"/>
              <w:spacing w:after="0" w:line="240" w:lineRule="auto"/>
              <w:rPr>
                <w:sz w:val="24"/>
                <w:szCs w:val="24"/>
              </w:rPr>
            </w:pPr>
            <w:r>
              <w:rPr>
                <w:rFonts w:ascii="Times New Roman" w:hAnsi="Times New Roman" w:cs="Times New Roman"/>
                <w:color w:val="#000000"/>
                <w:sz w:val="24"/>
                <w:szCs w:val="24"/>
              </w:rPr>
              <w:t> Структура консультирующих организаций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Качество консультационной услуги</w:t>
            </w:r>
          </w:p>
        </w:tc>
      </w:tr>
      <w:tr>
        <w:trPr>
          <w:trHeight w:hRule="exact" w:val="826.140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Особенности качества консультационной услуги	</w:t>
            </w:r>
          </w:p>
          <w:p>
            <w:pPr>
              <w:jc w:val="both"/>
              <w:spacing w:after="0" w:line="240" w:lineRule="auto"/>
              <w:rPr>
                <w:sz w:val="24"/>
                <w:szCs w:val="24"/>
              </w:rPr>
            </w:pPr>
            <w:r>
              <w:rPr>
                <w:rFonts w:ascii="Times New Roman" w:hAnsi="Times New Roman" w:cs="Times New Roman"/>
                <w:color w:val="#000000"/>
                <w:sz w:val="24"/>
                <w:szCs w:val="24"/>
              </w:rPr>
              <w:t> Оценка качества консультационной услуги	</w:t>
            </w:r>
          </w:p>
          <w:p>
            <w:pPr>
              <w:jc w:val="both"/>
              <w:spacing w:after="0" w:line="240" w:lineRule="auto"/>
              <w:rPr>
                <w:sz w:val="24"/>
                <w:szCs w:val="24"/>
              </w:rPr>
            </w:pPr>
            <w:r>
              <w:rPr>
                <w:rFonts w:ascii="Times New Roman" w:hAnsi="Times New Roman" w:cs="Times New Roman"/>
                <w:color w:val="#000000"/>
                <w:sz w:val="24"/>
                <w:szCs w:val="24"/>
              </w:rPr>
              <w:t> Инновационные процессы и управленческое консультирование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эффективность консалтинга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Методологические основы определения эффетивности консалтинговой деятельности. Эффективность процесса консультирования в современных экономических условиях и проблемы использования зарубежных методик в консалтинге</w:t>
            </w:r>
          </w:p>
        </w:tc>
      </w:tr>
      <w:tr>
        <w:trPr>
          <w:trHeight w:hRule="exact" w:val="277.83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5"/>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Характер и цель управленческого консультирования</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Классификация консультационных услуг</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Этапы процесса консультирования</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Партнерские отношения «Клиент - консультант»</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5269"/>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Деловые игры в консалтинге</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7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Маркетинг консультационных услуг</w:t>
            </w:r>
          </w:p>
        </w:tc>
      </w:tr>
      <w:tr>
        <w:trPr>
          <w:trHeight w:hRule="exact" w:val="21.31518"/>
        </w:trPr>
        <w:tc>
          <w:tcPr>
            <w:tcW w:w="9640" w:type="dxa"/>
          </w:tcPr>
          <w:p/>
        </w:tc>
      </w:tr>
      <w:tr>
        <w:trPr>
          <w:trHeight w:hRule="exact" w:val="277.8299"/>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Качество консультационной услуги</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Экономическая эффективность консалтинга</w:t>
            </w:r>
          </w:p>
        </w:tc>
      </w:tr>
      <w:tr>
        <w:trPr>
          <w:trHeight w:hRule="exact" w:val="21.31518"/>
        </w:trPr>
        <w:tc>
          <w:tcPr>
            <w:tcW w:w="9640" w:type="dxa"/>
          </w:tcPr>
          <w:p/>
        </w:tc>
      </w:tr>
      <w:tr>
        <w:trPr>
          <w:trHeight w:hRule="exact" w:val="277.8304"/>
        </w:trPr>
        <w:tc>
          <w:tcPr>
            <w:tcW w:w="9654" w:type="dxa"/>
            <w:tcBorders>
</w:tcBorders>
            <w:shd w:val="clear" w:color="#000000" w:fill="#FFFFFF"/>
            <w:vAlign w:val="top"/>
            <w:tcMar>
              <w:left w:w="34" w:type="dxa"/>
              <w:right w:w="34" w:type="dxa"/>
            </w:tcMar>
          </w:tcPr>
          <w:p/>
        </w:tc>
      </w:tr>
      <w:tr>
        <w:trPr>
          <w:trHeight w:hRule="exact" w:val="855.539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«Консалтинг» / Ильченко С.М..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1096.47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управленческого</w:t>
            </w:r>
            <w:r>
              <w:rPr/>
              <w:t xml:space="preserve"> </w:t>
            </w:r>
            <w:r>
              <w:rPr>
                <w:rFonts w:ascii="Times New Roman" w:hAnsi="Times New Roman" w:cs="Times New Roman"/>
                <w:color w:val="#000000"/>
                <w:sz w:val="24"/>
                <w:szCs w:val="24"/>
              </w:rPr>
              <w:t>консультирования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Шендель,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управленческого</w:t>
            </w:r>
            <w:r>
              <w:rPr/>
              <w:t xml:space="preserve"> </w:t>
            </w:r>
            <w:r>
              <w:rPr>
                <w:rFonts w:ascii="Times New Roman" w:hAnsi="Times New Roman" w:cs="Times New Roman"/>
                <w:color w:val="#000000"/>
                <w:sz w:val="24"/>
                <w:szCs w:val="24"/>
              </w:rPr>
              <w:t>консультирования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Красноярск:</w:t>
            </w:r>
            <w:r>
              <w:rPr/>
              <w:t xml:space="preserve"> </w:t>
            </w:r>
            <w:r>
              <w:rPr>
                <w:rFonts w:ascii="Times New Roman" w:hAnsi="Times New Roman" w:cs="Times New Roman"/>
                <w:color w:val="#000000"/>
                <w:sz w:val="24"/>
                <w:szCs w:val="24"/>
              </w:rPr>
              <w:t>Сибирский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науки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технологий</w:t>
            </w:r>
            <w:r>
              <w:rPr/>
              <w:t xml:space="preserve"> </w:t>
            </w:r>
            <w:r>
              <w:rPr>
                <w:rFonts w:ascii="Times New Roman" w:hAnsi="Times New Roman" w:cs="Times New Roman"/>
                <w:color w:val="#000000"/>
                <w:sz w:val="24"/>
                <w:szCs w:val="24"/>
              </w:rPr>
              <w:t>имени</w:t>
            </w:r>
            <w:r>
              <w:rPr/>
              <w:t xml:space="preserve"> </w:t>
            </w:r>
            <w:r>
              <w:rPr>
                <w:rFonts w:ascii="Times New Roman" w:hAnsi="Times New Roman" w:cs="Times New Roman"/>
                <w:color w:val="#000000"/>
                <w:sz w:val="24"/>
                <w:szCs w:val="24"/>
              </w:rPr>
              <w:t>академика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Ф.</w:t>
            </w:r>
            <w:r>
              <w:rPr/>
              <w:t xml:space="preserve"> </w:t>
            </w:r>
            <w:r>
              <w:rPr>
                <w:rFonts w:ascii="Times New Roman" w:hAnsi="Times New Roman" w:cs="Times New Roman"/>
                <w:color w:val="#000000"/>
                <w:sz w:val="24"/>
                <w:szCs w:val="24"/>
              </w:rPr>
              <w:t>Решетнева,</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978-5-86433-807-0.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http://www.iprbookshop.ru/107214.html</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консалтинг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Попова,</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Сичкарь,</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Экономический</w:t>
            </w:r>
            <w:r>
              <w:rPr/>
              <w:t xml:space="preserve"> </w:t>
            </w:r>
            <w:r>
              <w:rPr>
                <w:rFonts w:ascii="Times New Roman" w:hAnsi="Times New Roman" w:cs="Times New Roman"/>
                <w:color w:val="#000000"/>
                <w:sz w:val="24"/>
                <w:szCs w:val="24"/>
              </w:rPr>
              <w:t>консалтинг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мировых</w:t>
            </w:r>
            <w:r>
              <w:rPr/>
              <w:t xml:space="preserve"> </w:t>
            </w:r>
            <w:r>
              <w:rPr>
                <w:rFonts w:ascii="Times New Roman" w:hAnsi="Times New Roman" w:cs="Times New Roman"/>
                <w:color w:val="#000000"/>
                <w:sz w:val="24"/>
                <w:szCs w:val="24"/>
              </w:rPr>
              <w:t>цивилизаций,</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978-5-6042041-1-5.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http://www.iprbookshop.ru/88529.html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Управленческое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Васильев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Деева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Управленческое</w:t>
            </w:r>
            <w:r>
              <w:rPr/>
              <w:t xml:space="preserve"> </w:t>
            </w:r>
            <w:r>
              <w:rPr>
                <w:rFonts w:ascii="Times New Roman" w:hAnsi="Times New Roman" w:cs="Times New Roman"/>
                <w:color w:val="#000000"/>
                <w:sz w:val="24"/>
                <w:szCs w:val="24"/>
              </w:rPr>
              <w:t>консультирование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ЮНИТИ-ДАНА,</w:t>
            </w:r>
            <w:r>
              <w:rPr/>
              <w:t xml:space="preserve"> </w:t>
            </w:r>
            <w:r>
              <w:rPr>
                <w:rFonts w:ascii="Times New Roman" w:hAnsi="Times New Roman" w:cs="Times New Roman"/>
                <w:color w:val="#000000"/>
                <w:sz w:val="24"/>
                <w:szCs w:val="24"/>
              </w:rPr>
              <w:t>2017.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5-238-00717-5.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http://www.iprbookshop.ru/81706.html</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4.</w:t>
            </w:r>
            <w:r>
              <w:rPr/>
              <w:t xml:space="preserve"> </w:t>
            </w:r>
            <w:r>
              <w:rPr>
                <w:rFonts w:ascii="Times New Roman" w:hAnsi="Times New Roman" w:cs="Times New Roman"/>
                <w:color w:val="#000000"/>
                <w:sz w:val="24"/>
                <w:szCs w:val="24"/>
              </w:rPr>
              <w:t>Управленческий</w:t>
            </w:r>
            <w:r>
              <w:rPr/>
              <w:t xml:space="preserve"> </w:t>
            </w:r>
            <w:r>
              <w:rPr>
                <w:rFonts w:ascii="Times New Roman" w:hAnsi="Times New Roman" w:cs="Times New Roman"/>
                <w:color w:val="#000000"/>
                <w:sz w:val="24"/>
                <w:szCs w:val="24"/>
              </w:rPr>
              <w:t>консалтинг.</w:t>
            </w:r>
            <w:r>
              <w:rPr/>
              <w:t xml:space="preserve"> </w:t>
            </w:r>
            <w:r>
              <w:rPr>
                <w:rFonts w:ascii="Times New Roman" w:hAnsi="Times New Roman" w:cs="Times New Roman"/>
                <w:color w:val="#000000"/>
                <w:sz w:val="24"/>
                <w:szCs w:val="24"/>
              </w:rPr>
              <w:t>Социологический</w:t>
            </w:r>
            <w:r>
              <w:rPr/>
              <w:t xml:space="preserve"> </w:t>
            </w:r>
            <w:r>
              <w:rPr>
                <w:rFonts w:ascii="Times New Roman" w:hAnsi="Times New Roman" w:cs="Times New Roman"/>
                <w:color w:val="#000000"/>
                <w:sz w:val="24"/>
                <w:szCs w:val="24"/>
              </w:rPr>
              <w:t>подход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Забродин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978-5-534-10127-0.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https://urait.ru/bcode/453411</w:t>
            </w:r>
            <w:r>
              <w:rPr/>
              <w:t xml:space="preserve"> </w:t>
            </w:r>
          </w:p>
        </w:tc>
      </w:tr>
      <w:tr>
        <w:trPr>
          <w:trHeight w:hRule="exact" w:val="277.8299"/>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Менеджмент-консалтинг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Токмакова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Андриянова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Менеджмент-консалтинг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Евразийский</w:t>
            </w:r>
            <w:r>
              <w:rPr/>
              <w:t xml:space="preserve"> </w:t>
            </w:r>
            <w:r>
              <w:rPr>
                <w:rFonts w:ascii="Times New Roman" w:hAnsi="Times New Roman" w:cs="Times New Roman"/>
                <w:color w:val="#000000"/>
                <w:sz w:val="24"/>
                <w:szCs w:val="24"/>
              </w:rPr>
              <w:t>открытый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271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978-5-374-00290-4.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http://www.iprbookshop.ru/10780.html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консалтинг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Кашин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Международный</w:t>
            </w:r>
            <w:r>
              <w:rPr/>
              <w:t xml:space="preserve"> </w:t>
            </w:r>
            <w:r>
              <w:rPr>
                <w:rFonts w:ascii="Times New Roman" w:hAnsi="Times New Roman" w:cs="Times New Roman"/>
                <w:color w:val="#000000"/>
                <w:sz w:val="24"/>
                <w:szCs w:val="24"/>
              </w:rPr>
              <w:t>консалтинг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Евразийский</w:t>
            </w:r>
            <w:r>
              <w:rPr/>
              <w:t xml:space="preserve"> </w:t>
            </w:r>
            <w:r>
              <w:rPr>
                <w:rFonts w:ascii="Times New Roman" w:hAnsi="Times New Roman" w:cs="Times New Roman"/>
                <w:color w:val="#000000"/>
                <w:sz w:val="24"/>
                <w:szCs w:val="24"/>
              </w:rPr>
              <w:t>открытый</w:t>
            </w:r>
            <w:r>
              <w:rPr/>
              <w:t xml:space="preserve"> </w:t>
            </w:r>
            <w:r>
              <w:rPr>
                <w:rFonts w:ascii="Times New Roman" w:hAnsi="Times New Roman" w:cs="Times New Roman"/>
                <w:color w:val="#000000"/>
                <w:sz w:val="24"/>
                <w:szCs w:val="24"/>
              </w:rPr>
              <w:t>институт,</w:t>
            </w:r>
            <w:r>
              <w:rPr/>
              <w:t xml:space="preserve"> </w:t>
            </w:r>
            <w:r>
              <w:rPr>
                <w:rFonts w:ascii="Times New Roman" w:hAnsi="Times New Roman" w:cs="Times New Roman"/>
                <w:color w:val="#000000"/>
                <w:sz w:val="24"/>
                <w:szCs w:val="24"/>
              </w:rPr>
              <w:t>2009.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978-5-374-00268-3.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http://www.iprbookshop.ru/10777.html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8307.265"/>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3439.7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75.5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необходимо пользоваться учебниками по учебной дисциплине.</w:t>
            </w:r>
          </w:p>
        </w:tc>
      </w:tr>
      <w:tr>
        <w:trPr>
          <w:trHeight w:hRule="exact" w:val="855.5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177.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2023-2024_ФГОС3++2023_Бак-ЗФО-Э(ФКиА)(23)_plx_Консалтинг</dc:title>
  <dc:creator>FastReport.NET</dc:creator>
</cp:coreProperties>
</file>